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hAnsi="宋体" w:cs="宋体"/>
          <w:kern w:val="0"/>
          <w:sz w:val="28"/>
          <w:szCs w:val="28"/>
        </w:rPr>
      </w:pPr>
      <w:r>
        <w:rPr>
          <w:rFonts w:hint="eastAsia" w:ascii="宋体" w:hAnsi="宋体" w:cs="宋体"/>
          <w:kern w:val="0"/>
          <w:sz w:val="28"/>
          <w:szCs w:val="28"/>
        </w:rPr>
        <w:t>附件</w:t>
      </w:r>
      <w:r>
        <w:rPr>
          <w:rFonts w:hint="eastAsia" w:ascii="宋体" w:hAnsi="宋体" w:cs="宋体"/>
          <w:kern w:val="0"/>
          <w:sz w:val="28"/>
          <w:szCs w:val="28"/>
          <w:lang w:val="en-US" w:eastAsia="zh-CN"/>
        </w:rPr>
        <w:t>3</w:t>
      </w:r>
      <w:r>
        <w:rPr>
          <w:rFonts w:hint="eastAsia" w:ascii="宋体" w:hAnsi="宋体" w:cs="宋体"/>
          <w:kern w:val="0"/>
          <w:sz w:val="28"/>
          <w:szCs w:val="28"/>
        </w:rPr>
        <w:t>：</w:t>
      </w:r>
    </w:p>
    <w:p>
      <w:pPr>
        <w:jc w:val="center"/>
        <w:rPr>
          <w:rFonts w:ascii="宋体" w:hAnsi="宋体"/>
          <w:b/>
          <w:sz w:val="32"/>
        </w:rPr>
      </w:pPr>
      <w:r>
        <w:rPr>
          <w:rFonts w:hint="eastAsia" w:ascii="宋体" w:hAnsi="宋体"/>
          <w:b/>
          <w:sz w:val="32"/>
        </w:rPr>
        <w:t>行业计量技术规范项目建议书</w:t>
      </w:r>
    </w:p>
    <w:tbl>
      <w:tblPr>
        <w:tblStyle w:val="6"/>
        <w:tblW w:w="90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559"/>
        <w:gridCol w:w="709"/>
        <w:gridCol w:w="1134"/>
        <w:gridCol w:w="2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建议项目名称</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rFonts w:hint="eastAsia" w:eastAsia="宋体"/>
                <w:sz w:val="28"/>
                <w:szCs w:val="28"/>
                <w:lang w:val="en-US" w:eastAsia="zh-CN"/>
              </w:rPr>
            </w:pPr>
            <w:bookmarkStart w:id="0" w:name="_GoBack"/>
            <w:r>
              <w:rPr>
                <w:rFonts w:hint="eastAsia" w:eastAsia="宋体"/>
                <w:sz w:val="28"/>
                <w:szCs w:val="28"/>
                <w:lang w:val="en-US" w:eastAsia="zh-CN"/>
              </w:rPr>
              <w:t>激光诱导击穿光谱仪校准规范</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5"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制定或修订</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 xml:space="preserve">   ■</w:t>
            </w:r>
            <w:r>
              <w:rPr>
                <w:rFonts w:hint="eastAsia"/>
                <w:sz w:val="28"/>
                <w:szCs w:val="28"/>
              </w:rPr>
              <w:t>制定    □修订</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被修订计量技术规范号</w:t>
            </w:r>
          </w:p>
        </w:tc>
        <w:tc>
          <w:tcPr>
            <w:tcW w:w="2039" w:type="dxa"/>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9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计量技术规范性质</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 xml:space="preserve"> □检定规程</w:t>
            </w:r>
          </w:p>
          <w:p>
            <w:pPr>
              <w:spacing w:line="400" w:lineRule="exact"/>
              <w:jc w:val="center"/>
              <w:rPr>
                <w:rFonts w:hint="eastAsia" w:ascii="宋体" w:hAnsi="宋体"/>
                <w:sz w:val="28"/>
                <w:szCs w:val="28"/>
              </w:rPr>
            </w:pPr>
            <w:r>
              <w:rPr>
                <w:rFonts w:hint="eastAsia"/>
                <w:sz w:val="28"/>
                <w:szCs w:val="28"/>
              </w:rPr>
              <w:t xml:space="preserve"> ■校准规范</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ascii="宋体" w:hAnsi="宋体"/>
                <w:sz w:val="28"/>
                <w:szCs w:val="28"/>
              </w:rPr>
              <w:t>计量技术规范类别</w:t>
            </w:r>
          </w:p>
        </w:tc>
        <w:tc>
          <w:tcPr>
            <w:tcW w:w="203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□重点</w:t>
            </w:r>
          </w:p>
          <w:p>
            <w:pPr>
              <w:spacing w:line="400" w:lineRule="exact"/>
              <w:jc w:val="center"/>
              <w:rPr>
                <w:sz w:val="28"/>
                <w:szCs w:val="28"/>
              </w:rPr>
            </w:pPr>
            <w:r>
              <w:rPr>
                <w:rFonts w:hint="eastAsia"/>
                <w:sz w:val="28"/>
                <w:szCs w:val="28"/>
              </w:rPr>
              <w:t>■基础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主要起草单位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 w:val="24"/>
                <w:lang w:eastAsia="zh-CN"/>
              </w:rPr>
            </w:pPr>
            <w:r>
              <w:rPr>
                <w:rFonts w:hint="eastAsia" w:ascii="宋体" w:hAnsi="宋体"/>
                <w:sz w:val="24"/>
                <w:lang w:eastAsia="zh-CN"/>
              </w:rPr>
              <w:t>国标（北京）检验认证有限公司</w:t>
            </w:r>
          </w:p>
          <w:p>
            <w:pPr>
              <w:jc w:val="center"/>
              <w:rPr>
                <w:rFonts w:hint="eastAsia"/>
                <w:sz w:val="24"/>
              </w:rPr>
            </w:pPr>
            <w:r>
              <w:rPr>
                <w:rFonts w:hint="eastAsia" w:ascii="宋体" w:hAnsi="宋体"/>
                <w:sz w:val="24"/>
              </w:rPr>
              <w:t>(国家</w:t>
            </w:r>
            <w:r>
              <w:rPr>
                <w:rFonts w:hint="eastAsia" w:ascii="宋体" w:hAnsi="宋体"/>
                <w:sz w:val="24"/>
                <w:lang w:eastAsia="zh-CN"/>
              </w:rPr>
              <w:t>有色金属</w:t>
            </w:r>
            <w:r>
              <w:rPr>
                <w:rFonts w:hint="eastAsia" w:ascii="宋体" w:hAnsi="宋体"/>
                <w:sz w:val="24"/>
              </w:rPr>
              <w:t>质量监督检验中心)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联系人</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color w:val="000000"/>
                <w:sz w:val="28"/>
                <w:szCs w:val="28"/>
                <w:lang w:val="en-US" w:eastAsia="zh-CN"/>
              </w:rPr>
            </w:pPr>
            <w:r>
              <w:rPr>
                <w:rFonts w:hint="eastAsia"/>
                <w:color w:val="000000"/>
                <w:sz w:val="28"/>
                <w:szCs w:val="28"/>
                <w:lang w:val="en-US" w:eastAsia="zh-CN"/>
              </w:rPr>
              <w:t>刘英</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color w:val="000000"/>
                <w:sz w:val="28"/>
                <w:szCs w:val="28"/>
              </w:rPr>
              <w:t>联系电话</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28"/>
                <w:szCs w:val="28"/>
                <w:lang w:val="en-US" w:eastAsia="zh-CN"/>
              </w:rPr>
            </w:pPr>
            <w:r>
              <w:rPr>
                <w:rFonts w:hint="eastAsia"/>
                <w:sz w:val="28"/>
                <w:szCs w:val="28"/>
                <w:lang w:val="en-US" w:eastAsia="zh-CN"/>
              </w:rPr>
              <w:t>010-82241352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任务年限</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color w:val="000000"/>
                <w:sz w:val="28"/>
                <w:szCs w:val="28"/>
              </w:rPr>
              <w:t>201</w:t>
            </w:r>
            <w:r>
              <w:rPr>
                <w:rFonts w:hint="eastAsia"/>
                <w:color w:val="000000"/>
                <w:sz w:val="28"/>
                <w:szCs w:val="28"/>
                <w:lang w:val="en-US" w:eastAsia="zh-CN"/>
              </w:rPr>
              <w:t>9</w:t>
            </w:r>
            <w:r>
              <w:rPr>
                <w:rFonts w:hint="eastAsia"/>
                <w:color w:val="000000"/>
                <w:sz w:val="28"/>
                <w:szCs w:val="28"/>
              </w:rPr>
              <w:t>年完成</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申请经费</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5</w:t>
            </w:r>
            <w:r>
              <w:rPr>
                <w:rFonts w:hint="eastAsia"/>
                <w:sz w:val="28"/>
                <w:szCs w:val="28"/>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参加单位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eastAsia="宋体"/>
                <w:sz w:val="28"/>
                <w:szCs w:val="28"/>
                <w:lang w:val="en-US" w:eastAsia="zh-CN"/>
              </w:rPr>
            </w:pPr>
            <w:r>
              <w:rPr>
                <w:rFonts w:hint="eastAsia" w:ascii="宋体" w:hAnsi="宋体"/>
                <w:sz w:val="24"/>
                <w:lang w:val="en-US" w:eastAsia="zh-CN"/>
              </w:rPr>
              <w:t>山东东仪光电仪器有限公司、中国科学院合肥物质研究院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具备的特点</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宋体" w:hAnsi="宋体"/>
                <w:sz w:val="24"/>
                <w:lang w:val="en-US" w:eastAsia="zh-CN"/>
              </w:rPr>
            </w:pPr>
            <w:r>
              <w:rPr>
                <w:rFonts w:hint="eastAsia"/>
                <w:sz w:val="28"/>
                <w:szCs w:val="28"/>
              </w:rPr>
              <w:t>■安全 □节能 □环保 □自主创新 □其它</w:t>
            </w:r>
            <w:r>
              <w:rPr>
                <w:rFonts w:hint="eastAsia"/>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2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8"/>
                <w:szCs w:val="28"/>
              </w:rPr>
            </w:pPr>
            <w:r>
              <w:rPr>
                <w:rFonts w:hint="eastAsia"/>
                <w:sz w:val="28"/>
                <w:szCs w:val="28"/>
              </w:rPr>
              <w:t>目的、意义和</w:t>
            </w:r>
          </w:p>
          <w:p>
            <w:pPr>
              <w:spacing w:line="500" w:lineRule="exact"/>
              <w:jc w:val="center"/>
              <w:rPr>
                <w:sz w:val="28"/>
                <w:szCs w:val="28"/>
              </w:rPr>
            </w:pPr>
            <w:r>
              <w:rPr>
                <w:rFonts w:hint="eastAsia"/>
                <w:sz w:val="28"/>
                <w:szCs w:val="28"/>
              </w:rPr>
              <w:t>必要性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eastAsia="zh-CN"/>
              </w:rPr>
            </w:pPr>
            <w:r>
              <w:rPr>
                <w:rFonts w:hint="eastAsia"/>
                <w:sz w:val="24"/>
                <w:szCs w:val="24"/>
              </w:rPr>
              <w:t>激光诱导击穿光谱仪</w:t>
            </w:r>
            <w:r>
              <w:rPr>
                <w:rFonts w:hint="eastAsia"/>
                <w:sz w:val="24"/>
                <w:szCs w:val="24"/>
                <w:lang w:eastAsia="zh-CN"/>
              </w:rPr>
              <w:t>（</w:t>
            </w:r>
            <w:r>
              <w:rPr>
                <w:rFonts w:hint="eastAsia"/>
                <w:sz w:val="24"/>
                <w:szCs w:val="24"/>
                <w:lang w:val="en-US" w:eastAsia="zh-CN"/>
              </w:rPr>
              <w:t>LIBS</w:t>
            </w:r>
            <w:r>
              <w:rPr>
                <w:rFonts w:hint="eastAsia"/>
                <w:sz w:val="24"/>
                <w:szCs w:val="24"/>
                <w:lang w:eastAsia="zh-CN"/>
              </w:rPr>
              <w:t>）</w:t>
            </w:r>
            <w:r>
              <w:rPr>
                <w:rFonts w:hint="eastAsia"/>
                <w:sz w:val="24"/>
                <w:szCs w:val="24"/>
              </w:rPr>
              <w:t>是光谱分析领域一种</w:t>
            </w:r>
            <w:r>
              <w:rPr>
                <w:rFonts w:hint="eastAsia"/>
                <w:sz w:val="24"/>
                <w:szCs w:val="24"/>
                <w:lang w:val="en-US" w:eastAsia="zh-CN"/>
              </w:rPr>
              <w:t>前景广阔</w:t>
            </w:r>
            <w:r>
              <w:rPr>
                <w:rFonts w:hint="eastAsia"/>
                <w:sz w:val="24"/>
                <w:szCs w:val="24"/>
              </w:rPr>
              <w:t>的分析手段，其基本原理是</w:t>
            </w:r>
            <w:r>
              <w:rPr>
                <w:rFonts w:hint="eastAsia"/>
                <w:sz w:val="24"/>
                <w:szCs w:val="24"/>
                <w:lang w:val="en-US" w:eastAsia="zh-CN"/>
              </w:rPr>
              <w:t>利用</w:t>
            </w:r>
            <w:r>
              <w:rPr>
                <w:rFonts w:hint="eastAsia"/>
                <w:sz w:val="24"/>
                <w:szCs w:val="24"/>
              </w:rPr>
              <w:t>高能量激光光源，在分析材料表面形成高强度激光光斑</w:t>
            </w:r>
            <w:r>
              <w:rPr>
                <w:rFonts w:hint="eastAsia"/>
                <w:sz w:val="24"/>
                <w:szCs w:val="24"/>
                <w:lang w:eastAsia="zh-CN"/>
              </w:rPr>
              <w:t>（</w:t>
            </w:r>
            <w:r>
              <w:rPr>
                <w:rFonts w:hint="eastAsia"/>
                <w:sz w:val="24"/>
                <w:szCs w:val="24"/>
              </w:rPr>
              <w:t>等离子体</w:t>
            </w:r>
            <w:r>
              <w:rPr>
                <w:rFonts w:hint="eastAsia"/>
                <w:sz w:val="24"/>
                <w:szCs w:val="24"/>
                <w:lang w:eastAsia="zh-CN"/>
              </w:rPr>
              <w:t>）</w:t>
            </w:r>
            <w:r>
              <w:rPr>
                <w:rFonts w:hint="eastAsia"/>
                <w:sz w:val="24"/>
                <w:szCs w:val="24"/>
              </w:rPr>
              <w:t>，使样品</w:t>
            </w:r>
            <w:r>
              <w:rPr>
                <w:rFonts w:hint="eastAsia"/>
                <w:sz w:val="24"/>
                <w:szCs w:val="24"/>
                <w:lang w:val="en-US" w:eastAsia="zh-CN"/>
              </w:rPr>
              <w:t>被</w:t>
            </w:r>
            <w:r>
              <w:rPr>
                <w:rFonts w:hint="eastAsia"/>
                <w:sz w:val="24"/>
                <w:szCs w:val="24"/>
              </w:rPr>
              <w:t>激发</w:t>
            </w:r>
            <w:r>
              <w:rPr>
                <w:rFonts w:hint="eastAsia"/>
                <w:sz w:val="24"/>
                <w:szCs w:val="24"/>
                <w:lang w:val="en-US" w:eastAsia="zh-CN"/>
              </w:rPr>
              <w:t>而产生特征谱线，从而实现对化学元素的定性和定量分析</w:t>
            </w:r>
            <w:r>
              <w:rPr>
                <w:rFonts w:hint="eastAsia"/>
                <w:sz w:val="24"/>
                <w:szCs w:val="24"/>
              </w:rPr>
              <w:t>。</w:t>
            </w:r>
            <w:r>
              <w:rPr>
                <w:rFonts w:hint="eastAsia"/>
                <w:sz w:val="24"/>
                <w:szCs w:val="24"/>
                <w:lang w:val="en-US" w:eastAsia="zh-CN"/>
              </w:rPr>
              <w:t>LIBS具有灵敏度高、分析速度快、可同时分析多种元素等优点。它</w:t>
            </w:r>
            <w:r>
              <w:rPr>
                <w:rFonts w:hint="eastAsia"/>
                <w:sz w:val="24"/>
                <w:szCs w:val="24"/>
              </w:rPr>
              <w:t>弥补了传统元素分析方法的不足，可以检测</w:t>
            </w:r>
            <w:r>
              <w:rPr>
                <w:rFonts w:hint="eastAsia"/>
                <w:sz w:val="24"/>
                <w:szCs w:val="24"/>
                <w:lang w:val="en-US" w:eastAsia="zh-CN"/>
              </w:rPr>
              <w:t>几乎</w:t>
            </w:r>
            <w:r>
              <w:rPr>
                <w:rFonts w:hint="eastAsia"/>
                <w:sz w:val="24"/>
                <w:szCs w:val="24"/>
              </w:rPr>
              <w:t>所有的无机元素，且</w:t>
            </w:r>
            <w:r>
              <w:rPr>
                <w:rFonts w:hint="eastAsia"/>
                <w:sz w:val="24"/>
                <w:szCs w:val="24"/>
                <w:lang w:val="en-US" w:eastAsia="zh-CN"/>
              </w:rPr>
              <w:t>几乎</w:t>
            </w:r>
            <w:r>
              <w:rPr>
                <w:rFonts w:hint="eastAsia"/>
                <w:sz w:val="24"/>
                <w:szCs w:val="24"/>
              </w:rPr>
              <w:t>不需要样品制备，在</w:t>
            </w:r>
            <w:r>
              <w:rPr>
                <w:rFonts w:hint="eastAsia"/>
                <w:sz w:val="24"/>
                <w:szCs w:val="24"/>
                <w:lang w:val="en-US" w:eastAsia="zh-CN"/>
              </w:rPr>
              <w:t>材料微区分析</w:t>
            </w:r>
            <w:r>
              <w:rPr>
                <w:rFonts w:hint="eastAsia"/>
                <w:sz w:val="24"/>
                <w:szCs w:val="24"/>
              </w:rPr>
              <w:t>、镀层/薄膜分析、缺陷检测、珠宝鉴定、法医证据鉴定</w:t>
            </w:r>
            <w:r>
              <w:rPr>
                <w:rFonts w:hint="eastAsia"/>
                <w:sz w:val="24"/>
                <w:szCs w:val="24"/>
                <w:lang w:eastAsia="zh-CN"/>
              </w:rPr>
              <w:t>，</w:t>
            </w:r>
            <w:r>
              <w:rPr>
                <w:rFonts w:hint="eastAsia"/>
                <w:sz w:val="24"/>
                <w:szCs w:val="24"/>
                <w:lang w:val="en-US" w:eastAsia="zh-CN"/>
              </w:rPr>
              <w:t>以及复杂恶劣环境下的分析检测和工业在线检测</w:t>
            </w:r>
            <w:r>
              <w:rPr>
                <w:rFonts w:hint="eastAsia"/>
                <w:sz w:val="24"/>
                <w:szCs w:val="24"/>
              </w:rPr>
              <w:t>等应用领域优势明显</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szCs w:val="24"/>
                <w:lang w:val="en-US" w:eastAsia="zh-CN"/>
              </w:rPr>
            </w:pPr>
            <w:r>
              <w:rPr>
                <w:rFonts w:hint="eastAsia"/>
                <w:sz w:val="24"/>
                <w:szCs w:val="24"/>
                <w:lang w:val="en-US" w:eastAsia="zh-CN"/>
              </w:rPr>
              <w:t>LIBS主要由激光光源系统、激光聚焦系统、等离子体辐射手机系统、光谱仪、控制电路及软件数据处理系统等部件组成。激光光源系统通常包括激光电源和激光器。激光电源驱动激光器，激光器利用受激辐射原理输出激光，激光束通过激光聚焦系统会聚于样品表面，在极短时间内将样品表面微量元素剥离并激发出等离子体。因此激光能量的稳定性对于LIBS仪器光谱信号的状态具有十分重要的影响。光谱仪主要包括分光系统和探测器两个部分，是将受激发样品发出的光进行色散，并进一步将色散后的入射光信号转换为电信号的重要部件。因此，光谱仪性能的好坏（波长示值误差、波长示值重复性、检出限、测量重复性、测量稳定性）直接决定了检测结果的准确度和精密度。因此十分有必要在有色金属行业建立针对LIBS主要计量性能的校准技术规范。科学的校准规范能够有效确保校准操作的规范性和校准结果的可靠性，能够有效确保该仪器运行的可靠性，从而有利于该仪器的推广应用，对于提升产品质量水平、推动有色金属检测技术发展具有十分重要的积极作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2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范围和主要</w:t>
            </w:r>
          </w:p>
          <w:p>
            <w:pPr>
              <w:jc w:val="center"/>
              <w:rPr>
                <w:sz w:val="28"/>
                <w:szCs w:val="28"/>
              </w:rPr>
            </w:pPr>
            <w:r>
              <w:rPr>
                <w:rFonts w:hint="eastAsia"/>
                <w:sz w:val="28"/>
                <w:szCs w:val="28"/>
              </w:rPr>
              <w:t>计量特性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sz w:val="24"/>
                <w:szCs w:val="24"/>
              </w:rPr>
            </w:pPr>
            <w:r>
              <w:rPr>
                <w:rFonts w:hint="eastAsia"/>
                <w:sz w:val="24"/>
                <w:szCs w:val="24"/>
              </w:rPr>
              <w:t>1、本规范适用于</w:t>
            </w:r>
            <w:r>
              <w:rPr>
                <w:rFonts w:hint="eastAsia"/>
                <w:sz w:val="24"/>
                <w:szCs w:val="24"/>
                <w:lang w:val="en-US" w:eastAsia="zh-CN"/>
              </w:rPr>
              <w:t>激光诱导击穿光谱仪</w:t>
            </w:r>
            <w:r>
              <w:rPr>
                <w:rFonts w:hint="eastAsia"/>
                <w:sz w:val="24"/>
                <w:szCs w:val="24"/>
              </w:rPr>
              <w:t>的校准</w:t>
            </w:r>
            <w:r>
              <w:rPr>
                <w:rFonts w:hint="eastAsia"/>
                <w:sz w:val="24"/>
                <w:szCs w:val="24"/>
                <w:lang w:eastAsia="zh-CN"/>
              </w:rPr>
              <w:t>。</w:t>
            </w:r>
          </w:p>
          <w:p>
            <w:pPr>
              <w:spacing w:line="360" w:lineRule="auto"/>
              <w:rPr>
                <w:rFonts w:hint="eastAsia"/>
                <w:sz w:val="24"/>
                <w:szCs w:val="24"/>
                <w:lang w:eastAsia="zh-CN"/>
              </w:rPr>
            </w:pPr>
            <w:r>
              <w:rPr>
                <w:rFonts w:hint="eastAsia"/>
                <w:sz w:val="24"/>
                <w:szCs w:val="24"/>
              </w:rPr>
              <w:t>2、</w:t>
            </w:r>
            <w:r>
              <w:rPr>
                <w:rFonts w:hint="eastAsia"/>
                <w:sz w:val="24"/>
                <w:szCs w:val="24"/>
                <w:lang w:val="en-US" w:eastAsia="zh-CN"/>
              </w:rPr>
              <w:t>本规范规定的主要</w:t>
            </w:r>
            <w:r>
              <w:rPr>
                <w:rFonts w:hint="eastAsia"/>
                <w:sz w:val="24"/>
                <w:szCs w:val="24"/>
              </w:rPr>
              <w:t>计量特性</w:t>
            </w:r>
            <w:r>
              <w:rPr>
                <w:rFonts w:hint="eastAsia"/>
                <w:sz w:val="24"/>
                <w:szCs w:val="24"/>
                <w:lang w:val="en-US" w:eastAsia="zh-CN"/>
              </w:rPr>
              <w:t>及</w:t>
            </w:r>
            <w:r>
              <w:rPr>
                <w:rFonts w:hint="eastAsia"/>
                <w:sz w:val="24"/>
                <w:szCs w:val="24"/>
              </w:rPr>
              <w:t>技术指标</w:t>
            </w:r>
            <w:r>
              <w:rPr>
                <w:rFonts w:hint="eastAsia"/>
                <w:sz w:val="24"/>
                <w:szCs w:val="24"/>
                <w:lang w:val="en-US" w:eastAsia="zh-CN"/>
              </w:rPr>
              <w:t>为</w:t>
            </w:r>
            <w:r>
              <w:rPr>
                <w:rFonts w:hint="eastAsia"/>
                <w:sz w:val="24"/>
                <w:szCs w:val="24"/>
                <w:lang w:eastAsia="zh-CN"/>
              </w:rPr>
              <w:t>：</w:t>
            </w:r>
          </w:p>
          <w:p>
            <w:pPr>
              <w:spacing w:line="360" w:lineRule="auto"/>
              <w:rPr>
                <w:rFonts w:hint="eastAsia"/>
                <w:sz w:val="24"/>
                <w:szCs w:val="24"/>
                <w:lang w:val="en-US"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lang w:val="en-US" w:eastAsia="zh-CN"/>
              </w:rPr>
              <w:t>激光能量稳定性：≤2%；</w:t>
            </w:r>
          </w:p>
          <w:p>
            <w:pPr>
              <w:spacing w:line="360" w:lineRule="auto"/>
              <w:rPr>
                <w:rFonts w:hint="eastAsia"/>
                <w:sz w:val="24"/>
                <w:szCs w:val="24"/>
                <w:lang w:val="en-US" w:eastAsia="zh-CN"/>
              </w:rPr>
            </w:pPr>
            <w:r>
              <w:rPr>
                <w:rFonts w:hint="eastAsia"/>
                <w:sz w:val="24"/>
                <w:szCs w:val="24"/>
                <w:lang w:val="en-US" w:eastAsia="zh-CN"/>
              </w:rPr>
              <w:t>（2）波长示值误差：≤±0.05 nm；</w:t>
            </w:r>
          </w:p>
          <w:p>
            <w:pPr>
              <w:spacing w:line="360" w:lineRule="auto"/>
              <w:rPr>
                <w:rFonts w:hint="eastAsia"/>
                <w:sz w:val="24"/>
                <w:szCs w:val="24"/>
                <w:lang w:val="en-US" w:eastAsia="zh-CN"/>
              </w:rPr>
            </w:pPr>
            <w:r>
              <w:rPr>
                <w:rFonts w:hint="eastAsia"/>
                <w:sz w:val="24"/>
                <w:szCs w:val="24"/>
                <w:lang w:val="en-US" w:eastAsia="zh-CN"/>
              </w:rPr>
              <w:t>（3）波长示值重复性：≤0.01 nm；</w:t>
            </w:r>
          </w:p>
          <w:p>
            <w:pPr>
              <w:spacing w:line="360" w:lineRule="auto"/>
              <w:rPr>
                <w:rFonts w:hint="eastAsia"/>
                <w:sz w:val="24"/>
                <w:szCs w:val="24"/>
                <w:lang w:val="en-US" w:eastAsia="zh-CN"/>
              </w:rPr>
            </w:pPr>
            <w:r>
              <w:rPr>
                <w:rFonts w:hint="eastAsia"/>
                <w:sz w:val="24"/>
                <w:szCs w:val="24"/>
                <w:lang w:val="en-US" w:eastAsia="zh-CN"/>
              </w:rPr>
              <w:t>（4）检出限：Cu≤0.05 mg/L，Mn≤0.01 mg/L；</w:t>
            </w:r>
          </w:p>
          <w:p>
            <w:pPr>
              <w:spacing w:line="360" w:lineRule="auto"/>
              <w:rPr>
                <w:rFonts w:hint="eastAsia"/>
                <w:sz w:val="24"/>
                <w:szCs w:val="24"/>
                <w:lang w:val="en-US" w:eastAsia="zh-CN"/>
              </w:rPr>
            </w:pPr>
            <w:r>
              <w:rPr>
                <w:rFonts w:hint="eastAsia"/>
                <w:sz w:val="24"/>
                <w:szCs w:val="24"/>
                <w:lang w:val="en-US" w:eastAsia="zh-CN"/>
              </w:rPr>
              <w:t>（5）测量重复性：≤5%（元素浓度为0.5 mg/L~2.0 mg/L）；</w:t>
            </w:r>
          </w:p>
          <w:p>
            <w:pPr>
              <w:spacing w:line="360" w:lineRule="auto"/>
              <w:rPr>
                <w:rFonts w:hint="eastAsia"/>
                <w:szCs w:val="21"/>
                <w:lang w:eastAsia="zh-CN"/>
              </w:rPr>
            </w:pPr>
            <w:r>
              <w:rPr>
                <w:rFonts w:hint="eastAsia"/>
                <w:sz w:val="24"/>
                <w:szCs w:val="24"/>
                <w:lang w:val="en-US" w:eastAsia="zh-CN"/>
              </w:rPr>
              <w:t>（6）测量稳定性：≤5%（元素浓度为0.5 mg/L~2.0 mg/L）。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水平</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sz w:val="28"/>
                <w:szCs w:val="28"/>
              </w:rPr>
            </w:pPr>
            <w:r>
              <w:rPr>
                <w:rFonts w:hint="eastAsia"/>
                <w:sz w:val="28"/>
                <w:szCs w:val="28"/>
              </w:rPr>
              <w:t xml:space="preserve">       □国际先进        ■国内先进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国内外情况</w:t>
            </w:r>
          </w:p>
          <w:p>
            <w:pPr>
              <w:spacing w:line="500" w:lineRule="exact"/>
              <w:jc w:val="center"/>
              <w:rPr>
                <w:sz w:val="28"/>
                <w:szCs w:val="28"/>
              </w:rPr>
            </w:pPr>
            <w:r>
              <w:rPr>
                <w:rFonts w:hint="eastAsia"/>
                <w:sz w:val="28"/>
                <w:szCs w:val="28"/>
              </w:rPr>
              <w:t>简要说明</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szCs w:val="21"/>
              </w:rPr>
            </w:pPr>
            <w:r>
              <w:rPr>
                <w:rFonts w:hint="eastAsia"/>
                <w:sz w:val="24"/>
                <w:szCs w:val="24"/>
                <w:lang w:val="en-US" w:eastAsia="zh-CN"/>
              </w:rPr>
              <w:t>目前国内针对光谱仪的检定校准规范主要有JJG 768-2005《发射光谱仪检定规程》、JJG 694-2009《原子吸收分光光度计检定规程》、JJG 810-1993《波长色散X射线荧光光谱仪》等。其中，JJG 768-2005《发射光谱仪检定规程》规定了电感耦合等离子体发射光谱仪（ICP光谱仪）、火花/电弧直读光谱仪和摄谱仪在首次检定、后续检定和使用中检查时波长示值误差、波长示值重复性、最小光谱带宽、检出限、测量重复性、测量稳定性的计量性能要求及检定技术要求。然而该检定规程不适用于LIBS的计量校准。因此，急需制定针对LIBS的检定校准规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2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主要</w:t>
            </w:r>
          </w:p>
          <w:p>
            <w:pPr>
              <w:spacing w:line="500" w:lineRule="exact"/>
              <w:jc w:val="center"/>
              <w:rPr>
                <w:sz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r>
              <w:rPr>
                <w:rFonts w:hint="eastAsia"/>
                <w:sz w:val="24"/>
              </w:rPr>
              <w:t xml:space="preserve">  </w:t>
            </w:r>
          </w:p>
          <w:p>
            <w:pPr>
              <w:spacing w:line="500" w:lineRule="exact"/>
              <w:jc w:val="center"/>
              <w:rPr>
                <w:sz w:val="24"/>
              </w:rPr>
            </w:pPr>
          </w:p>
          <w:p>
            <w:pPr>
              <w:spacing w:line="500" w:lineRule="exact"/>
              <w:jc w:val="center"/>
              <w:rPr>
                <w:sz w:val="24"/>
              </w:rPr>
            </w:pPr>
            <w:r>
              <w:rPr>
                <w:rFonts w:hint="eastAsia"/>
                <w:sz w:val="24"/>
              </w:rPr>
              <w:t>月</w:t>
            </w:r>
            <w:r>
              <w:rPr>
                <w:rFonts w:hint="eastAsia"/>
                <w:sz w:val="24"/>
                <w:lang w:val="en-US" w:eastAsia="zh-CN"/>
              </w:rPr>
              <w:t xml:space="preserve">  </w:t>
            </w:r>
            <w:r>
              <w:rPr>
                <w:rFonts w:hint="eastAsia"/>
                <w:sz w:val="24"/>
              </w:rPr>
              <w:t>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技术</w:t>
            </w:r>
          </w:p>
          <w:p>
            <w:pPr>
              <w:spacing w:line="500" w:lineRule="exact"/>
              <w:jc w:val="center"/>
              <w:rPr>
                <w:sz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部委托</w:t>
            </w:r>
          </w:p>
          <w:p>
            <w:pPr>
              <w:spacing w:line="500" w:lineRule="exact"/>
              <w:jc w:val="center"/>
              <w:rPr>
                <w:rFonts w:hint="eastAsia"/>
                <w:sz w:val="24"/>
              </w:rPr>
            </w:pPr>
            <w:r>
              <w:rPr>
                <w:rFonts w:hint="eastAsia"/>
                <w:sz w:val="24"/>
              </w:rPr>
              <w:t>支撑</w:t>
            </w:r>
          </w:p>
          <w:p>
            <w:pPr>
              <w:spacing w:line="500" w:lineRule="exact"/>
              <w:jc w:val="center"/>
              <w:rPr>
                <w:sz w:val="24"/>
              </w:rPr>
            </w:pPr>
            <w:r>
              <w:rPr>
                <w:rFonts w:hint="eastAsia"/>
                <w:sz w:val="24"/>
              </w:rPr>
              <w:t>单位</w:t>
            </w:r>
          </w:p>
        </w:tc>
        <w:tc>
          <w:tcPr>
            <w:tcW w:w="203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r>
    </w:tbl>
    <w:p>
      <w:pPr>
        <w:rPr>
          <w:rFonts w:hint="eastAsia"/>
        </w:rPr>
      </w:pPr>
      <w:r>
        <w:rPr>
          <w:rFonts w:hint="eastAsia"/>
        </w:rPr>
        <w:t>填写说明：1.表中第</w:t>
      </w:r>
      <w:r>
        <w:t>2</w:t>
      </w:r>
      <w:r>
        <w:rPr>
          <w:rFonts w:hint="eastAsia"/>
        </w:rPr>
        <w:t>，</w:t>
      </w:r>
      <w:r>
        <w:t>3</w:t>
      </w:r>
      <w:r>
        <w:rPr>
          <w:rFonts w:hint="eastAsia"/>
        </w:rPr>
        <w:t>，8行，请在选定的内容上填写 “</w:t>
      </w:r>
      <w:r>
        <w:rPr>
          <w:rFonts w:hint="eastAsia" w:ascii="宋体" w:hAnsi="宋体"/>
        </w:rPr>
        <w:t>█</w:t>
      </w:r>
      <w:r>
        <w:rPr>
          <w:rFonts w:hint="eastAsia"/>
        </w:rPr>
        <w:t>”的符号。</w:t>
      </w:r>
    </w:p>
    <w:p>
      <w:pPr>
        <w:rPr>
          <w:szCs w:val="21"/>
        </w:rPr>
      </w:pPr>
      <w:r>
        <w:rPr>
          <w:rFonts w:hint="eastAsia"/>
        </w:rPr>
        <w:t xml:space="preserve">          </w:t>
      </w:r>
      <w:r>
        <w:rPr>
          <w:rFonts w:hint="eastAsia"/>
          <w:szCs w:val="21"/>
        </w:rPr>
        <w:t>2.填写制定或修订项目中，若选择修订则必须填写被修订计量技术规范号。</w:t>
      </w:r>
    </w:p>
    <w:p>
      <w:pPr>
        <w:rPr>
          <w:rFonts w:hint="eastAsia"/>
        </w:rPr>
      </w:pPr>
      <w:r>
        <w:rPr>
          <w:rFonts w:hint="eastAsia"/>
          <w:szCs w:val="21"/>
        </w:rPr>
        <w:br w:type="page"/>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82A"/>
    <w:rsid w:val="00061EF9"/>
    <w:rsid w:val="0006791C"/>
    <w:rsid w:val="000B2C87"/>
    <w:rsid w:val="000B76A7"/>
    <w:rsid w:val="001327BF"/>
    <w:rsid w:val="00137D53"/>
    <w:rsid w:val="00142C97"/>
    <w:rsid w:val="00165CF4"/>
    <w:rsid w:val="00191A23"/>
    <w:rsid w:val="001A6319"/>
    <w:rsid w:val="001B1109"/>
    <w:rsid w:val="001C7479"/>
    <w:rsid w:val="001D6492"/>
    <w:rsid w:val="001F1E15"/>
    <w:rsid w:val="00220765"/>
    <w:rsid w:val="00224E9C"/>
    <w:rsid w:val="002361A8"/>
    <w:rsid w:val="0024351E"/>
    <w:rsid w:val="002A52DC"/>
    <w:rsid w:val="002C2E4A"/>
    <w:rsid w:val="002D0B8E"/>
    <w:rsid w:val="002E2E3A"/>
    <w:rsid w:val="003813B1"/>
    <w:rsid w:val="003C5E0E"/>
    <w:rsid w:val="0045334C"/>
    <w:rsid w:val="004F2F0A"/>
    <w:rsid w:val="00516D40"/>
    <w:rsid w:val="005774D1"/>
    <w:rsid w:val="005B43B7"/>
    <w:rsid w:val="00641058"/>
    <w:rsid w:val="00643672"/>
    <w:rsid w:val="00647228"/>
    <w:rsid w:val="006574E4"/>
    <w:rsid w:val="00681DE2"/>
    <w:rsid w:val="00683E3B"/>
    <w:rsid w:val="0075669B"/>
    <w:rsid w:val="007F4C71"/>
    <w:rsid w:val="00823986"/>
    <w:rsid w:val="008C6D89"/>
    <w:rsid w:val="008E14B4"/>
    <w:rsid w:val="00927B91"/>
    <w:rsid w:val="009773E1"/>
    <w:rsid w:val="00980C76"/>
    <w:rsid w:val="009D7AFC"/>
    <w:rsid w:val="00A515A1"/>
    <w:rsid w:val="00AB2D0B"/>
    <w:rsid w:val="00AF6CE9"/>
    <w:rsid w:val="00B17841"/>
    <w:rsid w:val="00B24859"/>
    <w:rsid w:val="00B36306"/>
    <w:rsid w:val="00B47AAE"/>
    <w:rsid w:val="00B62EE9"/>
    <w:rsid w:val="00B73443"/>
    <w:rsid w:val="00BB04B5"/>
    <w:rsid w:val="00BB3BAA"/>
    <w:rsid w:val="00BD1D8A"/>
    <w:rsid w:val="00BD4ABD"/>
    <w:rsid w:val="00BD59EB"/>
    <w:rsid w:val="00C500B4"/>
    <w:rsid w:val="00C6562D"/>
    <w:rsid w:val="00C73A6F"/>
    <w:rsid w:val="00C91BE8"/>
    <w:rsid w:val="00CD0CA1"/>
    <w:rsid w:val="00CF770F"/>
    <w:rsid w:val="00D311E0"/>
    <w:rsid w:val="00D40D04"/>
    <w:rsid w:val="00DA4C2A"/>
    <w:rsid w:val="00E061A0"/>
    <w:rsid w:val="00EB250E"/>
    <w:rsid w:val="00F23DCA"/>
    <w:rsid w:val="00F27F87"/>
    <w:rsid w:val="00F6682A"/>
    <w:rsid w:val="00F937B3"/>
    <w:rsid w:val="00F940EC"/>
    <w:rsid w:val="00FF1C29"/>
    <w:rsid w:val="0B5D2441"/>
    <w:rsid w:val="361965F2"/>
    <w:rsid w:val="5CE9412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rFonts w:ascii="Times New Roman" w:hAnsi="Times New Roman" w:eastAsia="宋体"/>
      <w:kern w:val="0"/>
      <w:sz w:val="24"/>
      <w:szCs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99"/>
    <w:pPr>
      <w:ind w:firstLine="420" w:firstLineChars="200"/>
    </w:p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1882</Words>
  <Characters>10729</Characters>
  <Lines>89</Lines>
  <Paragraphs>25</Paragraphs>
  <TotalTime>0</TotalTime>
  <ScaleCrop>false</ScaleCrop>
  <LinksUpToDate>false</LinksUpToDate>
  <CharactersWithSpaces>12586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2018-01-25T14:31:00Z</dcterms:created>
  <dc:creator>wayne and tracy</dc:creator>
  <cp:lastModifiedBy>huangxy</cp:lastModifiedBy>
  <cp:lastPrinted>2018-01-31T02:52:00Z</cp:lastPrinted>
  <dcterms:modified xsi:type="dcterms:W3CDTF">2019-02-01T03:20:04Z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